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C6" w:rsidRPr="00B17AC6" w:rsidRDefault="00B72798" w:rsidP="00B17AC6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OLE_LINK48"/>
      <w:bookmarkStart w:id="1" w:name="OLE_LINK49"/>
      <w:bookmarkStart w:id="2" w:name="OLE_LINK44"/>
      <w:r>
        <w:rPr>
          <w:rFonts w:ascii="宋体" w:eastAsia="宋体" w:hAnsi="宋体" w:cs="宋体"/>
          <w:b/>
          <w:bCs/>
          <w:kern w:val="0"/>
          <w:sz w:val="36"/>
          <w:szCs w:val="36"/>
        </w:rPr>
        <w:t>配电箱</w:t>
      </w:r>
      <w:proofErr w:type="gramStart"/>
      <w:r>
        <w:rPr>
          <w:rFonts w:ascii="宋体" w:eastAsia="宋体" w:hAnsi="宋体" w:cs="宋体"/>
          <w:b/>
          <w:bCs/>
          <w:kern w:val="0"/>
          <w:sz w:val="36"/>
          <w:szCs w:val="36"/>
        </w:rPr>
        <w:t>周围塑木地板</w:t>
      </w:r>
      <w:proofErr w:type="gramEnd"/>
      <w:r w:rsidR="00642B2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</w:t>
      </w:r>
      <w:r w:rsidR="00B17AC6" w:rsidRPr="00B17AC6">
        <w:rPr>
          <w:rFonts w:ascii="宋体" w:eastAsia="宋体" w:hAnsi="宋体" w:cs="宋体"/>
          <w:b/>
          <w:bCs/>
          <w:kern w:val="0"/>
          <w:sz w:val="36"/>
          <w:szCs w:val="36"/>
        </w:rPr>
        <w:t>公告</w:t>
      </w:r>
    </w:p>
    <w:bookmarkEnd w:id="0"/>
    <w:bookmarkEnd w:id="1"/>
    <w:bookmarkEnd w:id="2"/>
    <w:p w:rsidR="00B17AC6" w:rsidRPr="00B17AC6" w:rsidRDefault="0077514B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配电箱</w:t>
      </w:r>
      <w:proofErr w:type="gramStart"/>
      <w:r>
        <w:rPr>
          <w:rFonts w:asciiTheme="minorEastAsia" w:hAnsiTheme="minorEastAsia" w:cs="宋体"/>
          <w:kern w:val="0"/>
          <w:sz w:val="24"/>
          <w:szCs w:val="24"/>
        </w:rPr>
        <w:t>周围塑木地板</w:t>
      </w:r>
      <w:proofErr w:type="gramEnd"/>
      <w:r>
        <w:rPr>
          <w:rFonts w:asciiTheme="minorEastAsia" w:hAnsiTheme="minorEastAsia" w:cs="宋体"/>
          <w:kern w:val="0"/>
          <w:sz w:val="24"/>
          <w:szCs w:val="24"/>
        </w:rPr>
        <w:t>采购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的潜在供应商应在</w:t>
      </w:r>
      <w:r w:rsidR="007B5C58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7B5C58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7B5C58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获取采购文件，并于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2024年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21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097340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点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0分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（北京时间）前提交响应文件。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项目编号：</w:t>
      </w:r>
      <w:r w:rsidR="0077514B">
        <w:rPr>
          <w:rFonts w:asciiTheme="minorEastAsia" w:hAnsiTheme="minorEastAsia" w:cs="宋体"/>
          <w:kern w:val="0"/>
          <w:sz w:val="24"/>
          <w:szCs w:val="24"/>
        </w:rPr>
        <w:t>PTSZYCXJ20241113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项目名称：</w:t>
      </w:r>
      <w:r w:rsidR="0077514B">
        <w:rPr>
          <w:rFonts w:asciiTheme="minorEastAsia" w:hAnsiTheme="minorEastAsia" w:cs="宋体"/>
          <w:kern w:val="0"/>
          <w:sz w:val="24"/>
          <w:szCs w:val="24"/>
        </w:rPr>
        <w:t>配电箱</w:t>
      </w:r>
      <w:proofErr w:type="gramStart"/>
      <w:r w:rsidR="0077514B">
        <w:rPr>
          <w:rFonts w:asciiTheme="minorEastAsia" w:hAnsiTheme="minorEastAsia" w:cs="宋体"/>
          <w:kern w:val="0"/>
          <w:sz w:val="24"/>
          <w:szCs w:val="24"/>
        </w:rPr>
        <w:t>周围塑木地板</w:t>
      </w:r>
      <w:proofErr w:type="gramEnd"/>
      <w:r w:rsidR="0077514B">
        <w:rPr>
          <w:rFonts w:asciiTheme="minorEastAsia" w:hAnsiTheme="minorEastAsia" w:cs="宋体"/>
          <w:kern w:val="0"/>
          <w:sz w:val="24"/>
          <w:szCs w:val="24"/>
        </w:rPr>
        <w:t>采购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采购方式：询价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预算金额：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0000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元（人民币）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最高限价（如有）：</w:t>
      </w:r>
      <w:r w:rsidR="007B5C58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0000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元（人民币）</w:t>
      </w:r>
    </w:p>
    <w:p w:rsidR="00BE474D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采购需求：</w:t>
      </w:r>
      <w:bookmarkStart w:id="3" w:name="OLE_LINK18"/>
      <w:bookmarkStart w:id="4" w:name="OLE_LINK19"/>
    </w:p>
    <w:tbl>
      <w:tblPr>
        <w:tblW w:w="94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4"/>
        <w:gridCol w:w="847"/>
        <w:gridCol w:w="2799"/>
        <w:gridCol w:w="815"/>
        <w:gridCol w:w="1454"/>
        <w:gridCol w:w="1503"/>
        <w:gridCol w:w="1121"/>
      </w:tblGrid>
      <w:tr w:rsidR="0077514B" w:rsidTr="0077514B">
        <w:trPr>
          <w:trHeight w:val="93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4B" w:rsidRPr="0077514B" w:rsidRDefault="0077514B" w:rsidP="0077514B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bookmarkStart w:id="5" w:name="OLE_LINK20"/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采购包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4B" w:rsidRPr="0077514B" w:rsidRDefault="0077514B" w:rsidP="0077514B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品目</w:t>
            </w:r>
            <w:r w:rsidRPr="0077514B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4B" w:rsidRPr="0077514B" w:rsidRDefault="0077514B" w:rsidP="0077514B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品目</w:t>
            </w:r>
            <w:r w:rsidRPr="0077514B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名称</w:t>
            </w:r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（采购标的）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4B" w:rsidRPr="0077514B" w:rsidRDefault="0077514B" w:rsidP="0077514B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4B" w:rsidRPr="0077514B" w:rsidRDefault="0077514B" w:rsidP="0077514B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最高限价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4B" w:rsidRPr="0077514B" w:rsidRDefault="0077514B" w:rsidP="0077514B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中小企业划分标准所属行业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4B" w:rsidRPr="0077514B" w:rsidRDefault="0077514B" w:rsidP="0077514B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投标保证金</w:t>
            </w:r>
          </w:p>
        </w:tc>
      </w:tr>
      <w:tr w:rsidR="0077514B" w:rsidTr="0077514B">
        <w:trPr>
          <w:trHeight w:val="93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4B" w:rsidRPr="0077514B" w:rsidRDefault="0077514B" w:rsidP="0077514B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4B" w:rsidRPr="0077514B" w:rsidRDefault="0077514B" w:rsidP="0077514B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1-1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4B" w:rsidRPr="0077514B" w:rsidRDefault="0077514B" w:rsidP="0077514B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配电箱</w:t>
            </w:r>
            <w:proofErr w:type="gramStart"/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周围塑木地板</w:t>
            </w:r>
            <w:proofErr w:type="gramEnd"/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采购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4B" w:rsidRPr="0077514B" w:rsidRDefault="0077514B" w:rsidP="0077514B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4B" w:rsidRPr="0077514B" w:rsidRDefault="0077514B" w:rsidP="0077514B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140000元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4B" w:rsidRPr="0077514B" w:rsidRDefault="0077514B" w:rsidP="0077514B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4B" w:rsidRPr="0077514B" w:rsidRDefault="0077514B" w:rsidP="0077514B">
            <w:pPr>
              <w:autoSpaceDN w:val="0"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1400元</w:t>
            </w:r>
          </w:p>
        </w:tc>
      </w:tr>
    </w:tbl>
    <w:bookmarkEnd w:id="3"/>
    <w:bookmarkEnd w:id="4"/>
    <w:bookmarkEnd w:id="5"/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本项目(不接受)联合体投标。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7B5C58" w:rsidRDefault="007B5C58" w:rsidP="00097340">
      <w:pPr>
        <w:widowControl/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进口产品，适用于（无）。节能产品，适用于（所有采购包或品目号），按照《关于印发节能产品政府采购品目清单的通知》财库〔2019〕19号执行。环境标志产品，适用于（所有采购包或品目号），按照《关于印发环境标志产品政府采购品目清单的通知》财库〔2019〕18号执行。信息安全产品，适用于（所有采购包或品目号）。</w:t>
      </w:r>
    </w:p>
    <w:p w:rsidR="0077514B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3.本项目的特定资格要求：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268"/>
        <w:gridCol w:w="7156"/>
      </w:tblGrid>
      <w:tr w:rsidR="0077514B" w:rsidRPr="0077514B" w:rsidTr="0077514B">
        <w:trPr>
          <w:trHeight w:val="325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4B" w:rsidRPr="0077514B" w:rsidRDefault="0077514B" w:rsidP="0077514B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bookmarkStart w:id="6" w:name="OLE_LINK17"/>
            <w:r w:rsidRPr="0077514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Hans"/>
              </w:rPr>
              <w:t>资格审查要求概况</w:t>
            </w:r>
          </w:p>
        </w:tc>
        <w:tc>
          <w:tcPr>
            <w:tcW w:w="7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4B" w:rsidRPr="0077514B" w:rsidRDefault="0077514B" w:rsidP="0077514B">
            <w:pPr>
              <w:widowControl/>
              <w:spacing w:line="360" w:lineRule="auto"/>
              <w:ind w:left="918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77514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Hans"/>
              </w:rPr>
              <w:t>评审点具体描述</w:t>
            </w:r>
          </w:p>
        </w:tc>
      </w:tr>
      <w:tr w:rsidR="0077514B" w:rsidRPr="0077514B" w:rsidTr="0077514B">
        <w:trPr>
          <w:trHeight w:val="421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4B" w:rsidRPr="0077514B" w:rsidRDefault="0077514B" w:rsidP="0077514B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bookmarkStart w:id="7" w:name="_Hlk182320031"/>
            <w:r w:rsidRPr="0077514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Hans"/>
              </w:rPr>
              <w:t>资</w:t>
            </w:r>
            <w:bookmarkStart w:id="8" w:name="OLE_LINK76"/>
            <w:bookmarkStart w:id="9" w:name="OLE_LINK77"/>
            <w:r w:rsidRPr="0077514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Hans"/>
              </w:rPr>
              <w:t>格承诺函</w:t>
            </w:r>
            <w:bookmarkEnd w:id="8"/>
            <w:bookmarkEnd w:id="9"/>
          </w:p>
        </w:tc>
        <w:tc>
          <w:tcPr>
            <w:tcW w:w="7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4B" w:rsidRPr="0077514B" w:rsidRDefault="0077514B" w:rsidP="0077514B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</w:pPr>
            <w:r w:rsidRPr="0077514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Hans"/>
              </w:rPr>
              <w:t>采用资格承诺制的供应商，须根据投标</w:t>
            </w:r>
            <w:r w:rsidRPr="0077514B"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  <w:t>(</w:t>
            </w:r>
            <w:r w:rsidRPr="0077514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Hans"/>
              </w:rPr>
              <w:t>响应</w:t>
            </w:r>
            <w:r w:rsidRPr="0077514B">
              <w:rPr>
                <w:rFonts w:ascii="宋体" w:eastAsia="宋体" w:hAnsi="宋体" w:cs="Times New Roman"/>
                <w:kern w:val="0"/>
                <w:sz w:val="24"/>
                <w:szCs w:val="24"/>
                <w:lang w:eastAsia="zh-Hans"/>
              </w:rPr>
              <w:t>)</w:t>
            </w:r>
            <w:r w:rsidRPr="0077514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Hans"/>
              </w:rPr>
              <w:t>格式文件要求提供资格承诺函，否则，视为未按照采购文件规定提交供应商的资格及资信文件，按资格审查不合格处理。</w:t>
            </w:r>
          </w:p>
        </w:tc>
      </w:tr>
    </w:tbl>
    <w:bookmarkEnd w:id="6"/>
    <w:bookmarkEnd w:id="7"/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lastRenderedPageBreak/>
        <w:t>三、获取采购文件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日至202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20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日，每天上午8:00至12:00，下午1</w:t>
      </w:r>
      <w:r w:rsidR="00564EBC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:</w:t>
      </w:r>
      <w:r w:rsidR="00564EBC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0至1</w:t>
      </w:r>
      <w:r w:rsidR="00564EBC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:</w:t>
      </w:r>
      <w:r w:rsidR="00564EBC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bookmarkStart w:id="10" w:name="_GoBack"/>
      <w:bookmarkEnd w:id="10"/>
      <w:r w:rsidRPr="00B17AC6">
        <w:rPr>
          <w:rFonts w:asciiTheme="minorEastAsia" w:hAnsiTheme="minorEastAsia" w:cs="宋体"/>
          <w:kern w:val="0"/>
          <w:sz w:val="24"/>
          <w:szCs w:val="24"/>
        </w:rPr>
        <w:t>0。（北京时间，法定节假日除外）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7B5C58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7B5C58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7B5C58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</w:p>
    <w:p w:rsidR="00B17AC6" w:rsidRPr="00B17AC6" w:rsidRDefault="00B17AC6" w:rsidP="00097340">
      <w:pPr>
        <w:widowControl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方式：</w:t>
      </w:r>
      <w:r w:rsidR="007B5C58" w:rsidRPr="007B5C58">
        <w:rPr>
          <w:rFonts w:asciiTheme="minorEastAsia" w:hAnsiTheme="minorEastAsia" w:cs="宋体" w:hint="eastAsia"/>
          <w:kern w:val="0"/>
          <w:sz w:val="24"/>
          <w:szCs w:val="24"/>
        </w:rPr>
        <w:t>①上门报名：供应商直接到莆田</w:t>
      </w:r>
      <w:proofErr w:type="gramStart"/>
      <w:r w:rsidR="007B5C58" w:rsidRPr="007B5C58">
        <w:rPr>
          <w:rFonts w:asciiTheme="minorEastAsia" w:hAnsiTheme="minorEastAsia" w:cs="宋体" w:hint="eastAsia"/>
          <w:kern w:val="0"/>
          <w:sz w:val="24"/>
          <w:szCs w:val="24"/>
        </w:rPr>
        <w:t>市数字</w:t>
      </w:r>
      <w:proofErr w:type="gramEnd"/>
      <w:r w:rsidR="007B5C58" w:rsidRPr="007B5C58">
        <w:rPr>
          <w:rFonts w:asciiTheme="minorEastAsia" w:hAnsiTheme="minorEastAsia" w:cs="宋体" w:hint="eastAsia"/>
          <w:kern w:val="0"/>
          <w:sz w:val="24"/>
          <w:szCs w:val="24"/>
        </w:rPr>
        <w:t>易采科技有限公司购买招标文件，招标文件售价为100元/份(含电子文档)。 ②邮箱方式报名：</w:t>
      </w:r>
      <w:proofErr w:type="gramStart"/>
      <w:r w:rsidR="007B5C58" w:rsidRPr="007B5C58">
        <w:rPr>
          <w:rFonts w:asciiTheme="minorEastAsia" w:hAnsiTheme="minorEastAsia" w:cs="宋体" w:hint="eastAsia"/>
          <w:kern w:val="0"/>
          <w:sz w:val="24"/>
          <w:szCs w:val="24"/>
        </w:rPr>
        <w:t>即供应</w:t>
      </w:r>
      <w:proofErr w:type="gramEnd"/>
      <w:r w:rsidR="007B5C58" w:rsidRPr="007B5C58">
        <w:rPr>
          <w:rFonts w:asciiTheme="minorEastAsia" w:hAnsiTheme="minorEastAsia" w:cs="宋体" w:hint="eastAsia"/>
          <w:kern w:val="0"/>
          <w:sz w:val="24"/>
          <w:szCs w:val="24"/>
        </w:rPr>
        <w:t>商先将标书费转账或电汇到莆田</w:t>
      </w:r>
      <w:proofErr w:type="gramStart"/>
      <w:r w:rsidR="007B5C58" w:rsidRPr="007B5C58">
        <w:rPr>
          <w:rFonts w:asciiTheme="minorEastAsia" w:hAnsiTheme="minorEastAsia" w:cs="宋体" w:hint="eastAsia"/>
          <w:kern w:val="0"/>
          <w:sz w:val="24"/>
          <w:szCs w:val="24"/>
        </w:rPr>
        <w:t>市数字</w:t>
      </w:r>
      <w:proofErr w:type="gramEnd"/>
      <w:r w:rsidR="007B5C58" w:rsidRPr="007B5C58">
        <w:rPr>
          <w:rFonts w:asciiTheme="minorEastAsia" w:hAnsiTheme="minorEastAsia" w:cs="宋体" w:hint="eastAsia"/>
          <w:kern w:val="0"/>
          <w:sz w:val="24"/>
          <w:szCs w:val="24"/>
        </w:rPr>
        <w:t>易采科技有限公司指定账户，再将转账或电汇的银行回单、报名人全称、地址、电话、传真、联系人、手机、E-mail、报名项目编号、项目名称等发送至我司邮箱PTSZYC2023@163.com，我司再将招标文件通过电子邮件方式发送给报名人。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B17AC6" w:rsidRPr="00097340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截止</w:t>
      </w:r>
      <w:r w:rsidRPr="00097340">
        <w:rPr>
          <w:rFonts w:asciiTheme="minorEastAsia" w:hAnsiTheme="minorEastAsia" w:cs="宋体"/>
          <w:kern w:val="0"/>
          <w:sz w:val="24"/>
          <w:szCs w:val="24"/>
        </w:rPr>
        <w:t>时间：</w:t>
      </w:r>
      <w:bookmarkStart w:id="11" w:name="OLE_LINK1"/>
      <w:bookmarkStart w:id="12" w:name="OLE_LINK2"/>
      <w:r w:rsidRPr="00097340">
        <w:rPr>
          <w:rFonts w:asciiTheme="minorEastAsia" w:hAnsiTheme="minorEastAsia" w:cs="宋体"/>
          <w:kern w:val="0"/>
          <w:sz w:val="24"/>
          <w:szCs w:val="24"/>
        </w:rPr>
        <w:t>202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097340">
        <w:rPr>
          <w:rFonts w:asciiTheme="minorEastAsia" w:hAnsiTheme="minorEastAsia" w:cs="宋体"/>
          <w:kern w:val="0"/>
          <w:sz w:val="24"/>
          <w:szCs w:val="24"/>
        </w:rPr>
        <w:t>年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097340">
        <w:rPr>
          <w:rFonts w:asciiTheme="minorEastAsia" w:hAnsiTheme="minorEastAsia" w:cs="宋体"/>
          <w:kern w:val="0"/>
          <w:sz w:val="24"/>
          <w:szCs w:val="24"/>
        </w:rPr>
        <w:t>月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21</w:t>
      </w:r>
      <w:r w:rsidRPr="00097340">
        <w:rPr>
          <w:rFonts w:asciiTheme="minorEastAsia" w:hAnsiTheme="minorEastAsia" w:cs="宋体"/>
          <w:kern w:val="0"/>
          <w:sz w:val="24"/>
          <w:szCs w:val="24"/>
        </w:rPr>
        <w:t>日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097340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097340">
        <w:rPr>
          <w:rFonts w:asciiTheme="minorEastAsia" w:hAnsiTheme="minorEastAsia" w:cs="宋体"/>
          <w:kern w:val="0"/>
          <w:sz w:val="24"/>
          <w:szCs w:val="24"/>
        </w:rPr>
        <w:t>点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Pr="00097340">
        <w:rPr>
          <w:rFonts w:asciiTheme="minorEastAsia" w:hAnsiTheme="minorEastAsia" w:cs="宋体"/>
          <w:kern w:val="0"/>
          <w:sz w:val="24"/>
          <w:szCs w:val="24"/>
        </w:rPr>
        <w:t>0分</w:t>
      </w:r>
      <w:bookmarkEnd w:id="11"/>
      <w:bookmarkEnd w:id="12"/>
      <w:r w:rsidRPr="00097340">
        <w:rPr>
          <w:rFonts w:asciiTheme="minorEastAsia" w:hAnsiTheme="minorEastAsia" w:cs="宋体"/>
          <w:kern w:val="0"/>
          <w:sz w:val="24"/>
          <w:szCs w:val="24"/>
        </w:rPr>
        <w:t>（北京时间）</w:t>
      </w:r>
    </w:p>
    <w:p w:rsidR="00B17AC6" w:rsidRPr="00097340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7340">
        <w:rPr>
          <w:rFonts w:asciiTheme="minorEastAsia" w:hAnsiTheme="minorEastAsia" w:cs="宋体"/>
          <w:kern w:val="0"/>
          <w:sz w:val="24"/>
          <w:szCs w:val="24"/>
        </w:rPr>
        <w:t>地点：</w:t>
      </w:r>
      <w:bookmarkStart w:id="13" w:name="OLE_LINK40"/>
      <w:r w:rsidR="007B5C58" w:rsidRPr="00097340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7B5C58" w:rsidRPr="00097340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7B5C58" w:rsidRPr="00097340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  <w:bookmarkEnd w:id="13"/>
    </w:p>
    <w:p w:rsidR="00B17AC6" w:rsidRPr="00097340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7340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B17AC6" w:rsidRPr="00097340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97340">
        <w:rPr>
          <w:rFonts w:asciiTheme="minorEastAsia" w:hAnsiTheme="minorEastAsia" w:cs="宋体"/>
          <w:kern w:val="0"/>
          <w:sz w:val="24"/>
          <w:szCs w:val="24"/>
        </w:rPr>
        <w:t>时间：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2024年</w:t>
      </w:r>
      <w:r w:rsidR="00D21D00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21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日1</w:t>
      </w:r>
      <w:r w:rsidR="00097340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点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="00512C84" w:rsidRPr="00097340">
        <w:rPr>
          <w:rFonts w:asciiTheme="minorEastAsia" w:hAnsiTheme="minorEastAsia" w:cs="宋体" w:hint="eastAsia"/>
          <w:kern w:val="0"/>
          <w:sz w:val="24"/>
          <w:szCs w:val="24"/>
        </w:rPr>
        <w:t>0分</w:t>
      </w:r>
      <w:r w:rsidRPr="00097340">
        <w:rPr>
          <w:rFonts w:asciiTheme="minorEastAsia" w:hAnsiTheme="minorEastAsia" w:cs="宋体"/>
          <w:kern w:val="0"/>
          <w:sz w:val="24"/>
          <w:szCs w:val="24"/>
        </w:rPr>
        <w:t>（北京时间）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7B5C58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7B5C58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7B5C58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7B5C58" w:rsidRPr="007B5C58" w:rsidRDefault="007B5C58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B5C58">
        <w:rPr>
          <w:rFonts w:asciiTheme="minorEastAsia" w:hAnsiTheme="minorEastAsia" w:cs="宋体" w:hint="eastAsia"/>
          <w:kern w:val="0"/>
          <w:sz w:val="24"/>
          <w:szCs w:val="24"/>
        </w:rPr>
        <w:t>7.1保证金缴纳账户：开户名：莆田</w:t>
      </w:r>
      <w:proofErr w:type="gramStart"/>
      <w:r w:rsidRPr="007B5C58">
        <w:rPr>
          <w:rFonts w:asciiTheme="minorEastAsia" w:hAnsiTheme="minorEastAsia" w:cs="宋体" w:hint="eastAsia"/>
          <w:kern w:val="0"/>
          <w:sz w:val="24"/>
          <w:szCs w:val="24"/>
        </w:rPr>
        <w:t>市数字</w:t>
      </w:r>
      <w:proofErr w:type="gramEnd"/>
      <w:r w:rsidRPr="007B5C58">
        <w:rPr>
          <w:rFonts w:asciiTheme="minorEastAsia" w:hAnsiTheme="minorEastAsia" w:cs="宋体" w:hint="eastAsia"/>
          <w:kern w:val="0"/>
          <w:sz w:val="24"/>
          <w:szCs w:val="24"/>
        </w:rPr>
        <w:t>易采科技有限公司，开户银行：中国工商银行城厢支行营业部，开户账号：1405010119600279989</w:t>
      </w:r>
    </w:p>
    <w:p w:rsidR="007B5C58" w:rsidRDefault="007B5C58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B5C58">
        <w:rPr>
          <w:rFonts w:asciiTheme="minorEastAsia" w:hAnsiTheme="minorEastAsia" w:cs="宋体" w:hint="eastAsia"/>
          <w:kern w:val="0"/>
          <w:sz w:val="24"/>
          <w:szCs w:val="24"/>
        </w:rPr>
        <w:t>7.2报名费、中标服务费缴纳账户：开户名：莆田</w:t>
      </w:r>
      <w:proofErr w:type="gramStart"/>
      <w:r w:rsidRPr="007B5C58">
        <w:rPr>
          <w:rFonts w:asciiTheme="minorEastAsia" w:hAnsiTheme="minorEastAsia" w:cs="宋体" w:hint="eastAsia"/>
          <w:kern w:val="0"/>
          <w:sz w:val="24"/>
          <w:szCs w:val="24"/>
        </w:rPr>
        <w:t>市数字</w:t>
      </w:r>
      <w:proofErr w:type="gramEnd"/>
      <w:r w:rsidRPr="007B5C58">
        <w:rPr>
          <w:rFonts w:asciiTheme="minorEastAsia" w:hAnsiTheme="minorEastAsia" w:cs="宋体" w:hint="eastAsia"/>
          <w:kern w:val="0"/>
          <w:sz w:val="24"/>
          <w:szCs w:val="24"/>
        </w:rPr>
        <w:t>易采科技有限公司，开户银行：中信银行莆田南门支行，开户账号：8111301011200853491。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7B5C58" w:rsidRPr="007B5C58" w:rsidRDefault="00B17AC6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名 称：</w:t>
      </w:r>
      <w:bookmarkStart w:id="14" w:name="OLE_LINK43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>莆田市教师进修学院附属小学</w:t>
      </w:r>
      <w:bookmarkEnd w:id="14"/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</w:t>
      </w:r>
      <w:proofErr w:type="gramEnd"/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地址：莆田市</w:t>
      </w:r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>荔</w:t>
      </w:r>
      <w:proofErr w:type="gramEnd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 xml:space="preserve">城区丰美路1055号 </w:t>
      </w:r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　　　</w:t>
      </w:r>
      <w:proofErr w:type="gramEnd"/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联系方式：联系人：</w:t>
      </w:r>
      <w:r w:rsidR="0077514B">
        <w:rPr>
          <w:rFonts w:ascii="宋体" w:eastAsia="宋体" w:hAnsi="宋体" w:cs="宋体" w:hint="eastAsia"/>
          <w:kern w:val="0"/>
          <w:sz w:val="24"/>
          <w:szCs w:val="24"/>
        </w:rPr>
        <w:t>陈</w:t>
      </w: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老师   联系电话：0594-2261503</w:t>
      </w:r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</w:t>
      </w:r>
      <w:proofErr w:type="gramEnd"/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2.采购代理机构信息</w:t>
      </w:r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名 称：</w:t>
      </w:r>
      <w:bookmarkStart w:id="15" w:name="OLE_LINK45"/>
      <w:bookmarkStart w:id="16" w:name="OLE_LINK46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>莆田</w:t>
      </w:r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>市数字</w:t>
      </w:r>
      <w:proofErr w:type="gramEnd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>易采科技有限公司</w:t>
      </w:r>
      <w:bookmarkEnd w:id="15"/>
      <w:bookmarkEnd w:id="16"/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　　　　　　　</w:t>
      </w:r>
      <w:proofErr w:type="gramEnd"/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地　址：莆田市城厢区龙桥街道</w:t>
      </w:r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>荔</w:t>
      </w:r>
      <w:proofErr w:type="gramEnd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>城中大道1998号2号楼四楼</w:t>
      </w:r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　　　　　　　</w:t>
      </w:r>
      <w:proofErr w:type="gramEnd"/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联系方式：联系人：小黄 电话：0594-2859890</w:t>
      </w:r>
      <w:proofErr w:type="gramStart"/>
      <w:r w:rsidRPr="007B5C58">
        <w:rPr>
          <w:rFonts w:ascii="宋体" w:eastAsia="宋体" w:hAnsi="宋体" w:cs="宋体" w:hint="eastAsia"/>
          <w:kern w:val="0"/>
          <w:sz w:val="24"/>
          <w:szCs w:val="24"/>
        </w:rPr>
        <w:t xml:space="preserve">　　　　　　　　　　　</w:t>
      </w:r>
      <w:proofErr w:type="gramEnd"/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3.项目联系方式</w:t>
      </w:r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项目联系人：小黄</w:t>
      </w:r>
    </w:p>
    <w:p w:rsidR="007B5C58" w:rsidRPr="007B5C58" w:rsidRDefault="007B5C58" w:rsidP="00097340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5C58">
        <w:rPr>
          <w:rFonts w:ascii="宋体" w:eastAsia="宋体" w:hAnsi="宋体" w:cs="宋体" w:hint="eastAsia"/>
          <w:kern w:val="0"/>
          <w:sz w:val="24"/>
          <w:szCs w:val="24"/>
        </w:rPr>
        <w:t>电　话：0594-2859890</w:t>
      </w:r>
    </w:p>
    <w:p w:rsidR="00B17AC6" w:rsidRPr="00B17AC6" w:rsidRDefault="00B17AC6" w:rsidP="0009734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17AC6" w:rsidRPr="00B17AC6" w:rsidRDefault="007B5C58" w:rsidP="00C17510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 w:rsidR="00B17AC6" w:rsidRPr="00B17AC6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</w:t>
      </w:r>
      <w:r w:rsidR="00176364">
        <w:rPr>
          <w:rFonts w:asciiTheme="minorEastAsia" w:hAnsiTheme="minorEastAsia" w:cs="宋体"/>
          <w:kern w:val="0"/>
          <w:sz w:val="24"/>
          <w:szCs w:val="24"/>
        </w:rPr>
        <w:t>莆田</w:t>
      </w:r>
      <w:proofErr w:type="gramStart"/>
      <w:r w:rsidR="00176364">
        <w:rPr>
          <w:rFonts w:asciiTheme="minorEastAsia" w:hAnsiTheme="minorEastAsia" w:cs="宋体"/>
          <w:kern w:val="0"/>
          <w:sz w:val="24"/>
          <w:szCs w:val="24"/>
        </w:rPr>
        <w:t>市数字</w:t>
      </w:r>
      <w:proofErr w:type="gramEnd"/>
      <w:r w:rsidR="00176364">
        <w:rPr>
          <w:rFonts w:asciiTheme="minorEastAsia" w:hAnsiTheme="minorEastAsia" w:cs="宋体"/>
          <w:kern w:val="0"/>
          <w:sz w:val="24"/>
          <w:szCs w:val="24"/>
        </w:rPr>
        <w:t>易采科技有限公司</w:t>
      </w:r>
    </w:p>
    <w:p w:rsidR="00B17AC6" w:rsidRPr="00B17AC6" w:rsidRDefault="00B17AC6" w:rsidP="00C17510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11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日                                    202</w:t>
      </w:r>
      <w:r w:rsidR="00512C84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11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77514B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B17AC6" w:rsidRPr="00B17AC6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DC" w:rsidRDefault="00733BDC" w:rsidP="00BE474D">
      <w:r>
        <w:separator/>
      </w:r>
    </w:p>
  </w:endnote>
  <w:endnote w:type="continuationSeparator" w:id="0">
    <w:p w:rsidR="00733BDC" w:rsidRDefault="00733BDC" w:rsidP="00BE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DC" w:rsidRDefault="00733BDC" w:rsidP="00BE474D">
      <w:r>
        <w:separator/>
      </w:r>
    </w:p>
  </w:footnote>
  <w:footnote w:type="continuationSeparator" w:id="0">
    <w:p w:rsidR="00733BDC" w:rsidRDefault="00733BDC" w:rsidP="00BE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0DD4"/>
    <w:multiLevelType w:val="multilevel"/>
    <w:tmpl w:val="7C4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C6"/>
    <w:rsid w:val="00097340"/>
    <w:rsid w:val="000A4778"/>
    <w:rsid w:val="00123AA0"/>
    <w:rsid w:val="00176364"/>
    <w:rsid w:val="001B5427"/>
    <w:rsid w:val="001B7145"/>
    <w:rsid w:val="00217404"/>
    <w:rsid w:val="002519A1"/>
    <w:rsid w:val="002D769F"/>
    <w:rsid w:val="00300C1F"/>
    <w:rsid w:val="00335837"/>
    <w:rsid w:val="00355CF5"/>
    <w:rsid w:val="00401C06"/>
    <w:rsid w:val="004C3342"/>
    <w:rsid w:val="00512C84"/>
    <w:rsid w:val="00564EBC"/>
    <w:rsid w:val="005728F1"/>
    <w:rsid w:val="00633E47"/>
    <w:rsid w:val="00642B26"/>
    <w:rsid w:val="00676D07"/>
    <w:rsid w:val="00733BDC"/>
    <w:rsid w:val="0077514B"/>
    <w:rsid w:val="00782106"/>
    <w:rsid w:val="007A5390"/>
    <w:rsid w:val="007B5C58"/>
    <w:rsid w:val="007F7D90"/>
    <w:rsid w:val="008C7898"/>
    <w:rsid w:val="00A95E78"/>
    <w:rsid w:val="00B17AC6"/>
    <w:rsid w:val="00B72798"/>
    <w:rsid w:val="00BE474D"/>
    <w:rsid w:val="00BF0046"/>
    <w:rsid w:val="00BF337D"/>
    <w:rsid w:val="00C17510"/>
    <w:rsid w:val="00C868B2"/>
    <w:rsid w:val="00D03DC9"/>
    <w:rsid w:val="00D21D00"/>
    <w:rsid w:val="00E27854"/>
    <w:rsid w:val="00F3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E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474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47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E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474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4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806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2024-11-15T04:31:00Z</dcterms:created>
  <dcterms:modified xsi:type="dcterms:W3CDTF">2024-11-15T04:32:00Z</dcterms:modified>
</cp:coreProperties>
</file>